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D4" w:rsidRDefault="00FD2FD4">
      <w:pPr>
        <w:jc w:val="center"/>
        <w:rPr>
          <w:b/>
        </w:rPr>
      </w:pPr>
    </w:p>
    <w:p w:rsidR="00607EFB" w:rsidRDefault="00271B6B">
      <w:pPr>
        <w:jc w:val="center"/>
      </w:pPr>
      <w:r>
        <w:rPr>
          <w:b/>
        </w:rPr>
        <w:t>Draft NAP Global Network Learning Framework</w:t>
      </w:r>
    </w:p>
    <w:p w:rsidR="00607EFB" w:rsidRDefault="00271B6B">
      <w:pPr>
        <w:jc w:val="center"/>
      </w:pPr>
      <w:r>
        <w:t>June 21, 2016</w:t>
      </w:r>
    </w:p>
    <w:p w:rsidR="00607EFB" w:rsidRDefault="00607EFB"/>
    <w:p w:rsidR="00607EFB" w:rsidRDefault="00271B6B">
      <w:r>
        <w:t xml:space="preserve">The NAP Global Network aims to enhance national adaptation planning and action in developing countries through coordination of bilateral support and in-country actors. The Network also facilitates international peer learning and exchange. The Network does </w:t>
      </w:r>
      <w:r>
        <w:t>so through three main activity areas:</w:t>
      </w:r>
    </w:p>
    <w:p w:rsidR="00607EFB" w:rsidRDefault="00271B6B">
      <w:pPr>
        <w:numPr>
          <w:ilvl w:val="0"/>
          <w:numId w:val="6"/>
        </w:numPr>
        <w:ind w:hanging="360"/>
        <w:contextualSpacing/>
      </w:pPr>
      <w:r>
        <w:rPr>
          <w:i/>
        </w:rPr>
        <w:t>Facilitating peer learning and exchange</w:t>
      </w:r>
      <w:r>
        <w:t xml:space="preserve"> on the challenges and opportunities associated with national adaptation planning and implementation</w:t>
      </w:r>
    </w:p>
    <w:p w:rsidR="00607EFB" w:rsidRDefault="00271B6B">
      <w:pPr>
        <w:numPr>
          <w:ilvl w:val="0"/>
          <w:numId w:val="6"/>
        </w:numPr>
        <w:ind w:hanging="360"/>
        <w:contextualSpacing/>
      </w:pPr>
      <w:r>
        <w:rPr>
          <w:i/>
        </w:rPr>
        <w:t>Improving coordination of adaptation-relevant bilateral support</w:t>
      </w:r>
      <w:r>
        <w:t>, with developi</w:t>
      </w:r>
      <w:r>
        <w:t>ng countries at the table to ensure that this support aligns with their priorities</w:t>
      </w:r>
    </w:p>
    <w:p w:rsidR="00607EFB" w:rsidRDefault="00271B6B">
      <w:pPr>
        <w:numPr>
          <w:ilvl w:val="0"/>
          <w:numId w:val="6"/>
        </w:numPr>
        <w:ind w:hanging="360"/>
        <w:contextualSpacing/>
      </w:pPr>
      <w:r>
        <w:rPr>
          <w:i/>
        </w:rPr>
        <w:t>Supporting national-level action</w:t>
      </w:r>
      <w:r>
        <w:t xml:space="preserve"> on NAP development and implementation</w:t>
      </w:r>
    </w:p>
    <w:p w:rsidR="00607EFB" w:rsidRDefault="00607EFB"/>
    <w:p w:rsidR="00607EFB" w:rsidRDefault="00271B6B">
      <w:r>
        <w:t>This Learning Framework is designed to test key assumptions about the Network’s effectiveness in achi</w:t>
      </w:r>
      <w:r>
        <w:t>eving its expected outcomes-- especially those related to learning and peer exchange, and whether/how this informs action. It identifies the assumptions that the Network has made in designing its program of peer learning and exchange activities, and define</w:t>
      </w:r>
      <w:r>
        <w:t>s the steps that the Network Secretariat can take to test these assumptions and find out whether Network participants are acting on what they learn through the Network.</w:t>
      </w:r>
    </w:p>
    <w:p w:rsidR="00607EFB" w:rsidRDefault="00607EFB"/>
    <w:p w:rsidR="00607EFB" w:rsidRDefault="00271B6B">
      <w:r>
        <w:t>Note that this is complementary to the Network’s complete M&amp;E results framework, which</w:t>
      </w:r>
      <w:r>
        <w:t xml:space="preserve"> covers all of the Network’s activity areas.</w:t>
      </w:r>
    </w:p>
    <w:p w:rsidR="00607EFB" w:rsidRDefault="00607EFB"/>
    <w:p w:rsidR="00607EFB" w:rsidRDefault="00271B6B">
      <w:r>
        <w:rPr>
          <w:b/>
        </w:rPr>
        <w:t>The Network’s Expected Outcomes</w:t>
      </w:r>
    </w:p>
    <w:p w:rsidR="00607EFB" w:rsidRDefault="00607EFB"/>
    <w:p w:rsidR="00607EFB" w:rsidRDefault="00271B6B">
      <w:r>
        <w:t xml:space="preserve">The following are the Network’s expected outcomes—1 &amp; 3 are the ones most directly relevant to this learning framework. </w:t>
      </w:r>
    </w:p>
    <w:p w:rsidR="00607EFB" w:rsidRDefault="00271B6B">
      <w:pPr>
        <w:numPr>
          <w:ilvl w:val="0"/>
          <w:numId w:val="4"/>
        </w:numPr>
        <w:ind w:hanging="360"/>
        <w:contextualSpacing/>
      </w:pPr>
      <w:r>
        <w:t>Increased technical capacity of in-country policy makers</w:t>
      </w:r>
      <w:r>
        <w:t>, practitioners and development partners to contribute to more effective NAP processes aligned with country-specific development priorities</w:t>
      </w:r>
    </w:p>
    <w:p w:rsidR="00607EFB" w:rsidRDefault="00271B6B">
      <w:pPr>
        <w:numPr>
          <w:ilvl w:val="0"/>
          <w:numId w:val="4"/>
        </w:numPr>
        <w:ind w:hanging="360"/>
        <w:contextualSpacing/>
      </w:pPr>
      <w:r>
        <w:t>Increased and better coordinated NAP-relevant assistance provided by bilateral development partners in support of cl</w:t>
      </w:r>
      <w:r>
        <w:t>imate-resilient development, including leveraging of portfolio of assistance to related sectors</w:t>
      </w:r>
    </w:p>
    <w:p w:rsidR="00607EFB" w:rsidRDefault="00271B6B">
      <w:pPr>
        <w:numPr>
          <w:ilvl w:val="0"/>
          <w:numId w:val="4"/>
        </w:numPr>
        <w:ind w:hanging="360"/>
        <w:contextualSpacing/>
      </w:pPr>
      <w:r>
        <w:t>Establishment of an active community of practice on NAPs within and across countries through which in-country actors and development partners develop, share, an</w:t>
      </w:r>
      <w:r>
        <w:t>d learn from concrete examples and best practices</w:t>
      </w:r>
    </w:p>
    <w:p w:rsidR="00D56A2D" w:rsidRDefault="00D56A2D" w:rsidP="00D56A2D">
      <w:pPr>
        <w:ind w:left="720"/>
        <w:contextualSpacing/>
      </w:pPr>
    </w:p>
    <w:p w:rsidR="00607EFB" w:rsidRDefault="00271B6B">
      <w:r>
        <w:rPr>
          <w:b/>
        </w:rPr>
        <w:t>Assumptions about the Network model and its potential</w:t>
      </w:r>
    </w:p>
    <w:p w:rsidR="00607EFB" w:rsidRDefault="00607EFB"/>
    <w:p w:rsidR="00607EFB" w:rsidRDefault="00271B6B">
      <w:r>
        <w:lastRenderedPageBreak/>
        <w:t xml:space="preserve">Assumptions about the Network’s potential effectiveness in achieving its outcomes fall in three broad categories. </w:t>
      </w:r>
    </w:p>
    <w:p w:rsidR="00607EFB" w:rsidRDefault="00607EFB"/>
    <w:p w:rsidR="00607EFB" w:rsidRDefault="00271B6B">
      <w:r>
        <w:rPr>
          <w:i/>
        </w:rPr>
        <w:t>Relationships &amp; engagement:</w:t>
      </w:r>
      <w:r>
        <w:t xml:space="preserve"> Assump</w:t>
      </w:r>
      <w:r>
        <w:t>tions about how the Network’s design and implementation will contribute to positive impacts in terms of participant engagement with the process and their peers.</w:t>
      </w:r>
    </w:p>
    <w:p w:rsidR="00607EFB" w:rsidRDefault="00271B6B">
      <w:pPr>
        <w:widowControl w:val="0"/>
        <w:spacing w:line="240" w:lineRule="auto"/>
        <w:ind w:left="720"/>
      </w:pPr>
      <w:r>
        <w:t>1) The Network provides an unofficial “safe” space for sharing and having frank discussions tha</w:t>
      </w:r>
      <w:r>
        <w:t>t lead to deeper engagement</w:t>
      </w:r>
    </w:p>
    <w:p w:rsidR="00607EFB" w:rsidRDefault="00271B6B">
      <w:pPr>
        <w:widowControl w:val="0"/>
        <w:spacing w:line="240" w:lineRule="auto"/>
        <w:ind w:left="720"/>
      </w:pPr>
      <w:r>
        <w:t>2) The cohort approach contributes to a sustained community of practice</w:t>
      </w:r>
    </w:p>
    <w:p w:rsidR="00607EFB" w:rsidRDefault="00607EFB">
      <w:pPr>
        <w:widowControl w:val="0"/>
        <w:spacing w:line="240" w:lineRule="auto"/>
      </w:pPr>
    </w:p>
    <w:p w:rsidR="00607EFB" w:rsidRDefault="00271B6B">
      <w:r>
        <w:rPr>
          <w:i/>
        </w:rPr>
        <w:t>Capacity development:</w:t>
      </w:r>
      <w:r>
        <w:t xml:space="preserve"> Assumptions about how the Network’s design and implementation will contribute to positive impacts in terms of the capacities gained by participants.</w:t>
      </w:r>
    </w:p>
    <w:p w:rsidR="00607EFB" w:rsidRDefault="00271B6B">
      <w:pPr>
        <w:ind w:left="720"/>
      </w:pPr>
      <w:r>
        <w:t>3) Multidimensional, integrated and sustained approach enhances capacity building</w:t>
      </w:r>
    </w:p>
    <w:p w:rsidR="00607EFB" w:rsidRDefault="00271B6B">
      <w:pPr>
        <w:ind w:left="720"/>
      </w:pPr>
      <w:r>
        <w:t>4) The country team appr</w:t>
      </w:r>
      <w:r>
        <w:t>oach leads to broadened capacity (e.g. in a wider range of actors) in-country</w:t>
      </w:r>
    </w:p>
    <w:p w:rsidR="00607EFB" w:rsidRDefault="00607EFB">
      <w:pPr>
        <w:widowControl w:val="0"/>
        <w:spacing w:line="240" w:lineRule="auto"/>
      </w:pPr>
    </w:p>
    <w:p w:rsidR="00607EFB" w:rsidRDefault="00271B6B">
      <w:pPr>
        <w:widowControl w:val="0"/>
        <w:spacing w:line="240" w:lineRule="auto"/>
      </w:pPr>
      <w:r>
        <w:rPr>
          <w:i/>
        </w:rPr>
        <w:t>Evidence into use</w:t>
      </w:r>
      <w:r>
        <w:t xml:space="preserve">: Assumptions about how the Network’s design and implementation will contribute to positive impacts in terms of participants’ use of the evidence and synthesis </w:t>
      </w:r>
      <w:r>
        <w:t>being generated.</w:t>
      </w:r>
    </w:p>
    <w:p w:rsidR="00607EFB" w:rsidRDefault="00271B6B">
      <w:pPr>
        <w:ind w:left="720"/>
      </w:pPr>
      <w:r>
        <w:t>5) Participating countries find lessons from outside of their regions to be applicable and informative in their own contexts</w:t>
      </w:r>
    </w:p>
    <w:p w:rsidR="00607EFB" w:rsidRDefault="00271B6B">
      <w:pPr>
        <w:ind w:left="720"/>
      </w:pPr>
      <w:r>
        <w:t>6) Demand-driven and responsive design leads to increased countries’ perceived relevance to national priorities, a</w:t>
      </w:r>
      <w:r>
        <w:t>s evidenced by follow-up actions taken based on learning</w:t>
      </w:r>
    </w:p>
    <w:p w:rsidR="00607EFB" w:rsidRDefault="00607EFB"/>
    <w:p w:rsidR="00607EFB" w:rsidRDefault="00271B6B">
      <w:r>
        <w:rPr>
          <w:b/>
        </w:rPr>
        <w:t>Tools and approaches for monitoring and testing assumptions</w:t>
      </w:r>
    </w:p>
    <w:p w:rsidR="00607EFB" w:rsidRDefault="00271B6B">
      <w:r>
        <w:t>The following table describes the tools and approaches the Network will use to test these assumptions. Some of these approaches will invol</w:t>
      </w:r>
      <w:r>
        <w:t>ve ongoing monitoring, and others will be conducted as a part of an evaluation of the Network’s three years of activities.</w:t>
      </w:r>
    </w:p>
    <w:p w:rsidR="00FD2FD4" w:rsidRDefault="00FD2FD4"/>
    <w:p w:rsidR="00FD2FD4" w:rsidRDefault="00FD2FD4"/>
    <w:p w:rsidR="00D56A2D" w:rsidRDefault="00D56A2D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2145"/>
        <w:gridCol w:w="4290"/>
      </w:tblGrid>
      <w:tr w:rsidR="00607EFB" w:rsidTr="00B1797F">
        <w:trPr>
          <w:trHeight w:val="500"/>
          <w:tblHeader/>
        </w:trPr>
        <w:tc>
          <w:tcPr>
            <w:tcW w:w="65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b/>
              </w:rPr>
              <w:t>Tool/Approach</w:t>
            </w:r>
          </w:p>
        </w:tc>
        <w:tc>
          <w:tcPr>
            <w:tcW w:w="2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b/>
              </w:rPr>
              <w:t>Related Assumptions</w:t>
            </w:r>
          </w:p>
        </w:tc>
        <w:tc>
          <w:tcPr>
            <w:tcW w:w="4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b/>
              </w:rPr>
              <w:t>Related Network Activities</w:t>
            </w:r>
          </w:p>
        </w:tc>
      </w:tr>
      <w:tr w:rsidR="00607EFB">
        <w:trPr>
          <w:trHeight w:val="480"/>
        </w:trPr>
        <w:tc>
          <w:tcPr>
            <w:tcW w:w="1296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>Ongoing Monitoring</w:t>
            </w:r>
          </w:p>
        </w:tc>
      </w:tr>
      <w:tr w:rsidR="00607EFB">
        <w:trPr>
          <w:trHeight w:val="2320"/>
        </w:trPr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 xml:space="preserve">Offers and requests marketplace: </w:t>
            </w:r>
            <w:r>
              <w:t>Documenting participant commitments to act based on learning, and requests for further support or exchange with peers. Follow-up tracer calls with randomly selected participants will be carried out 3-6 months after each event to see which offers/requests h</w:t>
            </w:r>
            <w:r>
              <w:t>ave been carried out, and why (or why not).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t>2, 5, 6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Targeted Topics Forums</w:t>
            </w:r>
          </w:p>
          <w:p w:rsidR="00607EFB" w:rsidRDefault="00271B6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Working groups</w:t>
            </w:r>
          </w:p>
        </w:tc>
      </w:tr>
      <w:tr w:rsidR="00607EFB"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>Participant surveys and/or event evaluations:</w:t>
            </w:r>
            <w:r>
              <w:t xml:space="preserve"> Participant surveys will be administered to participants including questions that address:</w:t>
            </w:r>
          </w:p>
          <w:p w:rsidR="00607EFB" w:rsidRDefault="00271B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Relevance of topics / issues addressed to their country context</w:t>
            </w:r>
          </w:p>
          <w:p w:rsidR="00607EFB" w:rsidRDefault="00271B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Reflections on the design and facilitation of the activity in question</w:t>
            </w:r>
          </w:p>
          <w:p w:rsidR="00607EFB" w:rsidRDefault="00271B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Interest in pursuing future Network activities / how future Network activities could build on their learning</w:t>
            </w:r>
          </w:p>
          <w:p w:rsidR="00607EFB" w:rsidRDefault="00271B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Disaggregati</w:t>
            </w:r>
            <w:r>
              <w:t>on of data on learning and relevance by type of country team actor (e.g. focal point, finance / planning, sector)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607EFB">
            <w:pPr>
              <w:widowControl w:val="0"/>
              <w:spacing w:line="240" w:lineRule="auto"/>
            </w:pP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271B6B">
            <w:pPr>
              <w:widowControl w:val="0"/>
              <w:spacing w:line="240" w:lineRule="auto"/>
            </w:pPr>
            <w:r>
              <w:t>6</w:t>
            </w: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271B6B">
            <w:pPr>
              <w:widowControl w:val="0"/>
              <w:spacing w:line="240" w:lineRule="auto"/>
            </w:pPr>
            <w:r>
              <w:t>6</w:t>
            </w: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271B6B">
            <w:pPr>
              <w:widowControl w:val="0"/>
              <w:spacing w:line="240" w:lineRule="auto"/>
            </w:pPr>
            <w:r>
              <w:t>2, 3, 6</w:t>
            </w: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607EFB">
            <w:pPr>
              <w:widowControl w:val="0"/>
              <w:spacing w:line="240" w:lineRule="auto"/>
            </w:pPr>
          </w:p>
          <w:p w:rsidR="00607EFB" w:rsidRDefault="00271B6B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Targeted Topics Forums</w:t>
            </w:r>
          </w:p>
          <w:p w:rsidR="00607EFB" w:rsidRDefault="00271B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Working Groups</w:t>
            </w:r>
          </w:p>
          <w:p w:rsidR="00607EFB" w:rsidRDefault="00271B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Peer exchanges</w:t>
            </w:r>
          </w:p>
          <w:p w:rsidR="00607EFB" w:rsidRDefault="00607EFB">
            <w:pPr>
              <w:widowControl w:val="0"/>
              <w:spacing w:line="240" w:lineRule="auto"/>
            </w:pPr>
          </w:p>
        </w:tc>
      </w:tr>
      <w:tr w:rsidR="00607EFB"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 xml:space="preserve">Case studies of use: </w:t>
            </w:r>
            <w:r>
              <w:t>A number of case studies (three to four per year) will be conducted on how participating individuals / countries have used lessons and/or built on connections established through the Network’s peer learning and exchange activities in their everyday practic</w:t>
            </w:r>
            <w:r>
              <w:t>e. This would also contribute to communications materials.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t>2, 3, 5, 6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This approach can be used to address all of the Network’s peer learning and exchange activities (Targeted Topics Forums, peer exchanges, webinars, publications and resources)</w:t>
            </w:r>
          </w:p>
          <w:p w:rsidR="00B1797F" w:rsidRDefault="00B1797F" w:rsidP="00B1797F">
            <w:pPr>
              <w:widowControl w:val="0"/>
              <w:spacing w:line="240" w:lineRule="auto"/>
              <w:contextualSpacing/>
            </w:pPr>
          </w:p>
        </w:tc>
      </w:tr>
      <w:tr w:rsidR="00607EFB">
        <w:trPr>
          <w:trHeight w:val="420"/>
        </w:trPr>
        <w:tc>
          <w:tcPr>
            <w:tcW w:w="1296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>Final Eval</w:t>
            </w:r>
            <w:r>
              <w:rPr>
                <w:i/>
              </w:rPr>
              <w:t>uation</w:t>
            </w:r>
          </w:p>
        </w:tc>
      </w:tr>
      <w:tr w:rsidR="00607EFB"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 xml:space="preserve">Interviews with Network participants regarding provision of “safe space” for technical discussions: </w:t>
            </w:r>
            <w:r>
              <w:t xml:space="preserve">As a part of a final review, an external consultant will be commissioned to interview </w:t>
            </w:r>
            <w:r>
              <w:lastRenderedPageBreak/>
              <w:t>participants regarding perspectives on the dynamic of Network activities, frankness of their contributions and overall dynamic of exchanges.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lastRenderedPageBreak/>
              <w:t>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Targeted Topics Forums</w:t>
            </w:r>
          </w:p>
        </w:tc>
      </w:tr>
      <w:tr w:rsidR="00607EFB"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rPr>
                <w:i/>
              </w:rPr>
              <w:t>Net</w:t>
            </w:r>
            <w:r>
              <w:rPr>
                <w:i/>
              </w:rPr>
              <w:t>work analysis:</w:t>
            </w:r>
            <w:r>
              <w:rPr>
                <w:b/>
              </w:rPr>
              <w:t xml:space="preserve"> </w:t>
            </w:r>
            <w:r>
              <w:t>As part of the final evaluation, external evaluators  can undertake an analysis of how participants’ networks have changed both in country and globally as a result of their involvement in the network. This could include funding partners’ Net</w:t>
            </w:r>
            <w:r>
              <w:t xml:space="preserve">works. See approaches to doing this </w:t>
            </w:r>
            <w:hyperlink r:id="rId7">
              <w:r>
                <w:rPr>
                  <w:color w:val="1155CC"/>
                  <w:u w:val="single"/>
                </w:rPr>
                <w:t>here</w:t>
              </w:r>
            </w:hyperlink>
            <w:r>
              <w:t>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spacing w:line="240" w:lineRule="auto"/>
            </w:pPr>
            <w:r>
              <w:t>2,4,5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EFB" w:rsidRDefault="00271B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Targeted Topics Forums</w:t>
            </w:r>
          </w:p>
          <w:p w:rsidR="00607EFB" w:rsidRDefault="00271B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Working Groups</w:t>
            </w:r>
          </w:p>
          <w:p w:rsidR="00607EFB" w:rsidRDefault="00271B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Peer Exchanges</w:t>
            </w:r>
          </w:p>
          <w:p w:rsidR="00607EFB" w:rsidRDefault="00271B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Activities related to improving coordination and supporting national-level action</w:t>
            </w:r>
          </w:p>
        </w:tc>
      </w:tr>
    </w:tbl>
    <w:p w:rsidR="00607EFB" w:rsidRDefault="00607EFB"/>
    <w:p w:rsidR="00607EFB" w:rsidRDefault="00607EFB"/>
    <w:p w:rsidR="00607EFB" w:rsidRDefault="00607EFB"/>
    <w:p w:rsidR="00607EFB" w:rsidRDefault="00607EFB"/>
    <w:p w:rsidR="007C55ED" w:rsidRDefault="007C55ED"/>
    <w:p w:rsidR="00271B6B" w:rsidRDefault="00271B6B"/>
    <w:p w:rsidR="00271B6B" w:rsidRDefault="00271B6B">
      <w:bookmarkStart w:id="0" w:name="_GoBack"/>
      <w:bookmarkEnd w:id="0"/>
    </w:p>
    <w:p w:rsidR="007C55ED" w:rsidRDefault="007C55ED" w:rsidP="007C55ED">
      <w:pPr>
        <w:pStyle w:val="Header"/>
        <w:jc w:val="center"/>
      </w:pPr>
    </w:p>
    <w:p w:rsidR="007C55ED" w:rsidRDefault="007C55ED" w:rsidP="007C55ED">
      <w:pPr>
        <w:jc w:val="center"/>
      </w:pPr>
    </w:p>
    <w:p w:rsidR="007C55ED" w:rsidRPr="00C344DA" w:rsidRDefault="007C55ED" w:rsidP="007C55ED">
      <w:pPr>
        <w:pStyle w:val="Footer"/>
        <w:jc w:val="center"/>
        <w:rPr>
          <w:i/>
        </w:rPr>
      </w:pPr>
      <w:r>
        <w:rPr>
          <w:i/>
        </w:rPr>
        <w:t>Financial support provided by G</w:t>
      </w:r>
      <w:r>
        <w:rPr>
          <w:i/>
        </w:rPr>
        <w:t xml:space="preserve">ermany &amp; the US           </w:t>
      </w:r>
      <w:r>
        <w:rPr>
          <w:i/>
        </w:rPr>
        <w:t>Secretariat hosted by:</w:t>
      </w:r>
    </w:p>
    <w:p w:rsidR="007C55ED" w:rsidRDefault="007C55ED" w:rsidP="007C55ED">
      <w:pPr>
        <w:jc w:val="center"/>
      </w:pPr>
      <w:r>
        <w:rPr>
          <w:noProof/>
        </w:rPr>
        <w:drawing>
          <wp:inline distT="0" distB="0" distL="0" distR="0">
            <wp:extent cx="4895850" cy="923925"/>
            <wp:effectExtent l="0" t="0" r="0" b="9525"/>
            <wp:docPr id="2" name="Picture 2" descr="logo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r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5ED" w:rsidSect="00FD2FD4"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4" w:rsidRDefault="00FD2FD4" w:rsidP="00FD2FD4">
      <w:pPr>
        <w:spacing w:line="240" w:lineRule="auto"/>
      </w:pPr>
      <w:r>
        <w:separator/>
      </w:r>
    </w:p>
  </w:endnote>
  <w:endnote w:type="continuationSeparator" w:id="0">
    <w:p w:rsidR="00FD2FD4" w:rsidRDefault="00FD2FD4" w:rsidP="00FD2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4" w:rsidRDefault="00FD2FD4" w:rsidP="00FD2FD4">
      <w:pPr>
        <w:spacing w:line="240" w:lineRule="auto"/>
      </w:pPr>
      <w:r>
        <w:separator/>
      </w:r>
    </w:p>
  </w:footnote>
  <w:footnote w:type="continuationSeparator" w:id="0">
    <w:p w:rsidR="00FD2FD4" w:rsidRDefault="00FD2FD4" w:rsidP="00FD2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33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FD4" w:rsidRDefault="00FD2F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2FD4" w:rsidRDefault="00FD2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D4" w:rsidRDefault="00FD2FD4" w:rsidP="00FD2FD4">
    <w:pPr>
      <w:pStyle w:val="Header"/>
      <w:jc w:val="center"/>
    </w:pPr>
    <w:r>
      <w:rPr>
        <w:noProof/>
      </w:rPr>
      <w:drawing>
        <wp:inline distT="0" distB="0" distL="0" distR="0">
          <wp:extent cx="1971675" cy="985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PGN_logo_english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02" cy="9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BA5"/>
    <w:multiLevelType w:val="multilevel"/>
    <w:tmpl w:val="C77EC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CE20C9"/>
    <w:multiLevelType w:val="multilevel"/>
    <w:tmpl w:val="E99C92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4D1B91"/>
    <w:multiLevelType w:val="multilevel"/>
    <w:tmpl w:val="8BFCA4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EF43876"/>
    <w:multiLevelType w:val="multilevel"/>
    <w:tmpl w:val="7890A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2BE7AFD"/>
    <w:multiLevelType w:val="multilevel"/>
    <w:tmpl w:val="29CA7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FC003D8"/>
    <w:multiLevelType w:val="multilevel"/>
    <w:tmpl w:val="456A5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86D6D7D"/>
    <w:multiLevelType w:val="multilevel"/>
    <w:tmpl w:val="4D949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FB"/>
    <w:rsid w:val="00271B6B"/>
    <w:rsid w:val="00607EFB"/>
    <w:rsid w:val="007C55ED"/>
    <w:rsid w:val="00B1797F"/>
    <w:rsid w:val="00D56A2D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DA6B"/>
  <w15:docId w15:val="{EB5612BB-2190-47CE-B22B-89A8B88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FD2F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D4"/>
  </w:style>
  <w:style w:type="paragraph" w:styleId="Footer">
    <w:name w:val="footer"/>
    <w:basedOn w:val="Normal"/>
    <w:link w:val="FooterChar"/>
    <w:unhideWhenUsed/>
    <w:rsid w:val="00FD2F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cial_network_analy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AA2E9BFD</Template>
  <TotalTime>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Price-Kelly</dc:creator>
  <cp:lastModifiedBy>Hayley Price-Kelly</cp:lastModifiedBy>
  <cp:revision>6</cp:revision>
  <dcterms:created xsi:type="dcterms:W3CDTF">2016-06-21T19:52:00Z</dcterms:created>
  <dcterms:modified xsi:type="dcterms:W3CDTF">2016-06-21T19:55:00Z</dcterms:modified>
</cp:coreProperties>
</file>